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</w:t>
      </w:r>
      <w:r w:rsidR="009176DF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3F22A0" w:rsidRDefault="003F22A0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b/>
          <w:bCs/>
        </w:rPr>
        <w:t xml:space="preserve">Устройство </w:t>
      </w:r>
      <w:proofErr w:type="spellStart"/>
      <w:r>
        <w:rPr>
          <w:b/>
          <w:bCs/>
        </w:rPr>
        <w:t>дожига</w:t>
      </w:r>
      <w:proofErr w:type="spellEnd"/>
      <w:r>
        <w:rPr>
          <w:b/>
          <w:bCs/>
        </w:rPr>
        <w:t xml:space="preserve"> УД-300М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F22A0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3F22A0">
        <w:rPr>
          <w:bCs/>
        </w:rPr>
        <w:t xml:space="preserve">Устройство </w:t>
      </w:r>
      <w:proofErr w:type="spellStart"/>
      <w:r w:rsidRPr="003F22A0">
        <w:rPr>
          <w:bCs/>
        </w:rPr>
        <w:t>дожига</w:t>
      </w:r>
      <w:proofErr w:type="spellEnd"/>
      <w:r w:rsidRPr="003F22A0">
        <w:rPr>
          <w:bCs/>
        </w:rPr>
        <w:t xml:space="preserve"> УД-300М</w:t>
      </w:r>
      <w:r>
        <w:t xml:space="preserve"> предназначено для </w:t>
      </w:r>
      <w:proofErr w:type="spellStart"/>
      <w:r>
        <w:t>дожига</w:t>
      </w:r>
      <w:proofErr w:type="spellEnd"/>
      <w:r>
        <w:t xml:space="preserve"> дефектной изоляции силовых кабелей с целью перевода однофазных замыканий (одной жилы на оболочку) в двух или трехфазное замыкание или разрушение проводящего мостика между жилой и оболочкой кабеля</w:t>
      </w:r>
      <w:proofErr w:type="gramStart"/>
      <w:r>
        <w:t>.</w:t>
      </w:r>
      <w:r w:rsidR="005B0C17">
        <w:t>.</w:t>
      </w:r>
      <w:proofErr w:type="gramEnd"/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3F22A0" w:rsidRPr="003F22A0" w:rsidRDefault="003059BD" w:rsidP="003F22A0">
      <w:pPr>
        <w:pStyle w:val="a5"/>
        <w:jc w:val="both"/>
        <w:rPr>
          <w:sz w:val="28"/>
          <w:szCs w:val="28"/>
        </w:rPr>
      </w:pPr>
      <w:r w:rsidRPr="003F22A0">
        <w:rPr>
          <w:sz w:val="28"/>
          <w:szCs w:val="28"/>
        </w:rPr>
        <w:t xml:space="preserve">     </w:t>
      </w:r>
      <w:r w:rsidR="003F22A0" w:rsidRPr="003F22A0">
        <w:rPr>
          <w:sz w:val="28"/>
          <w:szCs w:val="28"/>
        </w:rPr>
        <w:t xml:space="preserve">В состав устройства входит регулятор напряжения, который обеспечивает плавный подъем выходного напряжения до пробоя дефектной изоляции, а также делитель </w:t>
      </w:r>
      <w:proofErr w:type="gramStart"/>
      <w:r w:rsidR="003F22A0" w:rsidRPr="003F22A0">
        <w:rPr>
          <w:sz w:val="28"/>
          <w:szCs w:val="28"/>
        </w:rPr>
        <w:t>напряжения</w:t>
      </w:r>
      <w:proofErr w:type="gramEnd"/>
      <w:r w:rsidR="003F22A0" w:rsidRPr="003F22A0">
        <w:rPr>
          <w:sz w:val="28"/>
          <w:szCs w:val="28"/>
        </w:rPr>
        <w:t xml:space="preserve"> обеспечивающий индикацию выходного напряжения. </w:t>
      </w:r>
      <w:r w:rsidR="003F22A0" w:rsidRPr="003F22A0">
        <w:rPr>
          <w:bCs/>
          <w:sz w:val="28"/>
          <w:szCs w:val="28"/>
        </w:rPr>
        <w:t>Устройство</w:t>
      </w:r>
      <w:r w:rsidR="003F22A0">
        <w:rPr>
          <w:bCs/>
          <w:sz w:val="28"/>
          <w:szCs w:val="28"/>
        </w:rPr>
        <w:t xml:space="preserve"> </w:t>
      </w:r>
      <w:proofErr w:type="spellStart"/>
      <w:r w:rsidR="003F22A0">
        <w:rPr>
          <w:bCs/>
          <w:sz w:val="28"/>
          <w:szCs w:val="28"/>
        </w:rPr>
        <w:t>дожига</w:t>
      </w:r>
      <w:proofErr w:type="spellEnd"/>
      <w:r w:rsidR="003F22A0" w:rsidRPr="003F22A0">
        <w:rPr>
          <w:bCs/>
          <w:sz w:val="28"/>
          <w:szCs w:val="28"/>
        </w:rPr>
        <w:t xml:space="preserve"> УД-300М</w:t>
      </w:r>
      <w:r w:rsidR="003F22A0" w:rsidRPr="003F22A0">
        <w:rPr>
          <w:sz w:val="28"/>
          <w:szCs w:val="28"/>
        </w:rPr>
        <w:t> выполнено в виде переносного блока. Внутри блока установлены силовые тиристоры; вентилятор воздушного охлаждения; устройство управления тиристорами; устройство световой индикации.</w:t>
      </w:r>
    </w:p>
    <w:p w:rsidR="00D63400" w:rsidRPr="003F22A0" w:rsidRDefault="003F22A0" w:rsidP="003F22A0">
      <w:pPr>
        <w:rPr>
          <w:rFonts w:eastAsia="Times New Roman"/>
          <w:lang w:eastAsia="ru-RU"/>
        </w:rPr>
      </w:pPr>
      <w:r>
        <w:t>.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3F22A0" w:rsidP="00046A55">
      <w:pPr>
        <w:spacing w:before="0" w:after="0"/>
        <w:ind w:firstLine="360"/>
      </w:pPr>
      <w:r w:rsidRPr="003F22A0">
        <w:rPr>
          <w:bCs/>
        </w:rPr>
        <w:t xml:space="preserve">Устройство </w:t>
      </w:r>
      <w:proofErr w:type="spellStart"/>
      <w:r w:rsidRPr="003F22A0">
        <w:rPr>
          <w:bCs/>
        </w:rPr>
        <w:t>дожига</w:t>
      </w:r>
      <w:proofErr w:type="spellEnd"/>
      <w:r w:rsidRPr="003F22A0">
        <w:rPr>
          <w:bCs/>
        </w:rPr>
        <w:t xml:space="preserve"> УД-300М</w:t>
      </w:r>
      <w:r w:rsidR="008E1794" w:rsidRPr="00D12467">
        <w:t xml:space="preserve"> необходим</w:t>
      </w:r>
      <w:r>
        <w:t>о</w:t>
      </w:r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r w:rsidR="003F22A0" w:rsidRPr="003F22A0">
        <w:rPr>
          <w:bCs/>
        </w:rPr>
        <w:t xml:space="preserve">Устройство </w:t>
      </w:r>
      <w:proofErr w:type="spellStart"/>
      <w:r w:rsidR="003F22A0" w:rsidRPr="003F22A0">
        <w:rPr>
          <w:bCs/>
        </w:rPr>
        <w:t>дожига</w:t>
      </w:r>
      <w:proofErr w:type="spellEnd"/>
      <w:r w:rsidR="003F22A0" w:rsidRPr="003F22A0">
        <w:rPr>
          <w:bCs/>
        </w:rPr>
        <w:t xml:space="preserve"> УД-300М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9176DF">
        <w:t>150,57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  <w:bookmarkStart w:id="0" w:name="_GoBack"/>
      <w:bookmarkEnd w:id="0"/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3F22A0"/>
    <w:rsid w:val="0049401F"/>
    <w:rsid w:val="004E199F"/>
    <w:rsid w:val="005B0C17"/>
    <w:rsid w:val="00617C74"/>
    <w:rsid w:val="006656FB"/>
    <w:rsid w:val="00894EDF"/>
    <w:rsid w:val="008E1794"/>
    <w:rsid w:val="009176DF"/>
    <w:rsid w:val="00A0725D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A6B43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3F2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  <w:style w:type="character" w:styleId="a7">
    <w:name w:val="Strong"/>
    <w:basedOn w:val="a0"/>
    <w:uiPriority w:val="22"/>
    <w:qFormat/>
    <w:rsid w:val="003F2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22</cp:revision>
  <dcterms:created xsi:type="dcterms:W3CDTF">2018-02-27T15:27:00Z</dcterms:created>
  <dcterms:modified xsi:type="dcterms:W3CDTF">2019-02-21T06:33:00Z</dcterms:modified>
</cp:coreProperties>
</file>